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FA40">
      <w:pPr>
        <w:spacing w:after="50"/>
      </w:pPr>
      <w:r>
        <w:drawing>
          <wp:inline distT="0" distB="0" distL="0" distR="0">
            <wp:extent cx="1123950" cy="5810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4"/>
                    <a:srcRect/>
                    <a:stretch>
                      <a:fillRect/>
                    </a:stretch>
                  </pic:blipFill>
                  <pic:spPr>
                    <a:xfrm>
                      <a:off x="0" y="0"/>
                      <a:ext cx="1123950" cy="581025"/>
                    </a:xfrm>
                    <a:prstGeom prst="rect">
                      <a:avLst/>
                    </a:prstGeom>
                  </pic:spPr>
                </pic:pic>
              </a:graphicData>
            </a:graphic>
          </wp:inline>
        </w:drawing>
      </w:r>
    </w:p>
    <w:p w14:paraId="277D8953">
      <w:pPr>
        <w:pBdr>
          <w:bottom w:val="single" w:color="B5582A" w:sz="6" w:space="0"/>
        </w:pBdr>
        <w:spacing w:after="20"/>
      </w:pPr>
      <w:r>
        <w:rPr>
          <w:rFonts w:ascii="Calibri" w:hAnsi="Calibri" w:eastAsia="Calibri" w:cs="Calibri"/>
          <w:color w:val="7A7A82"/>
          <w:sz w:val="17"/>
          <w:szCs w:val="17"/>
        </w:rPr>
        <w:t>Asociación de familiares de Alzheimer y otras Demencias · Región de Murcia</w:t>
      </w:r>
    </w:p>
    <w:p w14:paraId="5FC831A9">
      <w:pPr>
        <w:spacing w:after="220"/>
      </w:pPr>
    </w:p>
    <w:p w14:paraId="5E59B79E">
      <w:pPr>
        <w:spacing w:after="160"/>
      </w:pPr>
      <w:r>
        <w:rPr>
          <w:rFonts w:ascii="Calibri" w:hAnsi="Calibri" w:eastAsia="Calibri" w:cs="Calibri"/>
          <w:b/>
          <w:bCs/>
          <w:color w:val="B5582A"/>
          <w:spacing w:val="60"/>
          <w:sz w:val="20"/>
          <w:szCs w:val="20"/>
        </w:rPr>
        <w:t>NOTA DE PRENSA</w:t>
      </w:r>
    </w:p>
    <w:p w14:paraId="7A356F38">
      <w:pPr>
        <w:spacing w:after="140" w:line="300" w:lineRule="auto"/>
      </w:pPr>
      <w:r>
        <w:rPr>
          <w:rFonts w:ascii="Calibri" w:hAnsi="Calibri" w:eastAsia="Calibri" w:cs="Calibri"/>
          <w:b/>
          <w:bCs/>
          <w:color w:val="4A4A52"/>
          <w:sz w:val="34"/>
          <w:szCs w:val="34"/>
        </w:rPr>
        <w:t xml:space="preserve">AFADE anuncia el desarrollo de dos servicios de salud cerebral para la </w:t>
      </w:r>
      <w:r>
        <w:rPr>
          <w:rFonts w:cs="Calibri"/>
          <w:b/>
          <w:bCs/>
          <w:color w:val="4A4A52"/>
          <w:sz w:val="34"/>
          <w:szCs w:val="34"/>
          <w:lang w:val="es-ES"/>
        </w:rPr>
        <w:t>prevención</w:t>
      </w:r>
      <w:r>
        <w:rPr>
          <w:rFonts w:ascii="Calibri" w:hAnsi="Calibri" w:eastAsia="Calibri" w:cs="Calibri"/>
          <w:b/>
          <w:bCs/>
          <w:color w:val="4A4A52"/>
          <w:sz w:val="34"/>
          <w:szCs w:val="34"/>
        </w:rPr>
        <w:t xml:space="preserve"> del deterioro cognitivo</w:t>
      </w:r>
    </w:p>
    <w:p w14:paraId="2D52236B">
      <w:pPr>
        <w:spacing w:after="200" w:line="300" w:lineRule="auto"/>
      </w:pPr>
      <w:r>
        <w:rPr>
          <w:rFonts w:ascii="Calibri" w:hAnsi="Calibri" w:eastAsia="Calibri" w:cs="Calibri"/>
          <w:i/>
          <w:iCs/>
          <w:color w:val="8F421E"/>
          <w:sz w:val="24"/>
          <w:szCs w:val="24"/>
        </w:rPr>
        <w:t>La asociación celebra su XXI Jornada de Puertas Abiertas con motivo del Día Mundial del Alzheimer, con la presencia de la consejera de Salud, Isabel Ayala, y la alcaldesa de Alcantarilla, Paqui Terol</w:t>
      </w:r>
    </w:p>
    <w:p w14:paraId="2552C1A9">
      <w:pPr>
        <w:pStyle w:val="16"/>
        <w:numPr>
          <w:ilvl w:val="0"/>
          <w:numId w:val="1"/>
        </w:numPr>
        <w:spacing w:after="110" w:line="300" w:lineRule="auto"/>
        <w:jc w:val="both"/>
      </w:pPr>
      <w:r>
        <w:rPr>
          <w:rFonts w:ascii="Calibri" w:hAnsi="Calibri" w:eastAsia="Calibri" w:cs="Calibri"/>
          <w:color w:val="333333"/>
          <w:sz w:val="22"/>
          <w:szCs w:val="22"/>
        </w:rPr>
        <w:t xml:space="preserve"> Los servicios, desarrollados en colaboración con Quirónsalud y con Viamed San José, se dirigen a personas de 40 a 65 años sin síntomas pero con factores de riesgo sobre los que aún es posible actuar.</w:t>
      </w:r>
    </w:p>
    <w:p w14:paraId="0EF5D7F6">
      <w:pPr>
        <w:pStyle w:val="16"/>
        <w:numPr>
          <w:ilvl w:val="0"/>
          <w:numId w:val="1"/>
        </w:numPr>
        <w:spacing w:after="110" w:line="300" w:lineRule="auto"/>
        <w:jc w:val="both"/>
      </w:pPr>
      <w:r>
        <w:rPr>
          <w:rFonts w:ascii="Calibri" w:hAnsi="Calibri" w:eastAsia="Calibri" w:cs="Calibri"/>
          <w:color w:val="333333"/>
          <w:sz w:val="22"/>
          <w:szCs w:val="22"/>
        </w:rPr>
        <w:t xml:space="preserve"> Hasta el 45% de los casos de demencia podrían prevenirse o retrasarse actuando sobre factores de riesgo modificables, según la Comisión Lancet de 2024.</w:t>
      </w:r>
    </w:p>
    <w:p w14:paraId="10D62BB6">
      <w:pPr>
        <w:pStyle w:val="16"/>
        <w:numPr>
          <w:ilvl w:val="0"/>
          <w:numId w:val="1"/>
        </w:numPr>
        <w:spacing w:after="110" w:line="300" w:lineRule="auto"/>
        <w:jc w:val="both"/>
      </w:pPr>
      <w:r>
        <w:rPr>
          <w:rFonts w:ascii="Calibri" w:hAnsi="Calibri" w:eastAsia="Calibri" w:cs="Calibri"/>
          <w:color w:val="333333"/>
          <w:sz w:val="22"/>
          <w:szCs w:val="22"/>
        </w:rPr>
        <w:t xml:space="preserve"> AFADE presentará su modelo en la Alzheimer Europe Conference de Dublín, en octubre, con el respaldo de la Fundación Pasqual Maragall.</w:t>
      </w:r>
    </w:p>
    <w:p w14:paraId="1B8A7E83">
      <w:pPr>
        <w:spacing w:before="200" w:after="60" w:line="300" w:lineRule="auto"/>
        <w:jc w:val="both"/>
      </w:pPr>
      <w:r>
        <w:rPr>
          <w:rFonts w:ascii="Calibri" w:hAnsi="Calibri" w:eastAsia="Calibri" w:cs="Calibri"/>
          <w:b/>
          <w:bCs/>
          <w:i w:val="0"/>
          <w:iCs w:val="0"/>
          <w:color w:val="333333"/>
          <w:sz w:val="22"/>
          <w:szCs w:val="22"/>
        </w:rPr>
        <w:t>Alcantarilla, 18 de septiembre de 2026.</w:t>
      </w:r>
    </w:p>
    <w:p w14:paraId="5175344E">
      <w:pPr>
        <w:spacing w:before="0" w:after="150" w:line="300" w:lineRule="auto"/>
        <w:jc w:val="both"/>
      </w:pPr>
      <w:r>
        <w:rPr>
          <w:rFonts w:ascii="Calibri" w:hAnsi="Calibri" w:eastAsia="Calibri" w:cs="Calibri"/>
          <w:b w:val="0"/>
          <w:bCs w:val="0"/>
          <w:i w:val="0"/>
          <w:iCs w:val="0"/>
          <w:color w:val="333333"/>
          <w:sz w:val="22"/>
          <w:szCs w:val="22"/>
        </w:rPr>
        <w:t>AFADE, Asociación de Familiares de Enfermos de Alzheimer y otras Demencias de la Región de Murcia, ha anunciado hoy el desarrollo de dos servicios de salud cerebral destinados a la detección precoz y a la intervención sobre los factores de riesgo del deterioro cognitivo. El anuncio se ha realizado en el acto inaugural de la XXI Jornada de Puertas Abiertas de la asociación, celebrada con motivo del Día Mundial del Alzheimer.</w:t>
      </w:r>
    </w:p>
    <w:p w14:paraId="1B45D1BA">
      <w:pPr>
        <w:spacing w:before="0" w:after="150" w:line="300" w:lineRule="auto"/>
        <w:jc w:val="both"/>
      </w:pPr>
      <w:r>
        <w:rPr>
          <w:rFonts w:ascii="Calibri" w:hAnsi="Calibri" w:eastAsia="Calibri" w:cs="Calibri"/>
          <w:b w:val="0"/>
          <w:bCs w:val="0"/>
          <w:i w:val="0"/>
          <w:iCs w:val="0"/>
          <w:color w:val="333333"/>
          <w:sz w:val="22"/>
          <w:szCs w:val="22"/>
        </w:rPr>
        <w:t>Los servicios, que abrirán próximamente, se desarrollan en colaboración con Quirónsalud y con Viamed San José, entidades que ceden espacio e infraestructura, mientras que AFADE dirige el programa y aporta su metodología, sus protocolos y su equipo técnico especializado.</w:t>
      </w:r>
    </w:p>
    <w:p w14:paraId="4C04536D">
      <w:pPr>
        <w:spacing w:before="220" w:after="100" w:line="300" w:lineRule="auto"/>
        <w:jc w:val="both"/>
      </w:pPr>
      <w:r>
        <w:rPr>
          <w:rFonts w:ascii="Calibri" w:hAnsi="Calibri" w:eastAsia="Calibri" w:cs="Calibri"/>
          <w:b/>
          <w:bCs/>
          <w:i w:val="0"/>
          <w:iCs w:val="0"/>
          <w:color w:val="8F421E"/>
          <w:sz w:val="24"/>
          <w:szCs w:val="24"/>
        </w:rPr>
        <w:t>Una ventana de oportunidad entre los 40 y los 65 años</w:t>
      </w:r>
    </w:p>
    <w:p w14:paraId="3BBD1CFF">
      <w:pPr>
        <w:spacing w:before="0" w:after="150" w:line="300" w:lineRule="auto"/>
        <w:jc w:val="both"/>
      </w:pPr>
      <w:r>
        <w:rPr>
          <w:rFonts w:ascii="Calibri" w:hAnsi="Calibri" w:eastAsia="Calibri" w:cs="Calibri"/>
          <w:b w:val="0"/>
          <w:bCs w:val="0"/>
          <w:i w:val="0"/>
          <w:iCs w:val="0"/>
          <w:color w:val="333333"/>
          <w:sz w:val="22"/>
          <w:szCs w:val="22"/>
        </w:rPr>
        <w:t>El elemento que distingue a estos servicios no es tanto el tipo de atención como el momento en que se actúa. Se dirigen a personas de 40 a 65 años cognitivamente sanas, en fase preclínica: la franja en la que los factores de riesgo todavía son modificables y en la que se inician los cambios que se manifestarán clínicamente dos o tres décadas después.</w:t>
      </w:r>
    </w:p>
    <w:p w14:paraId="3BC52856">
      <w:pPr>
        <w:spacing w:before="0" w:after="150" w:line="300" w:lineRule="auto"/>
        <w:jc w:val="both"/>
      </w:pPr>
      <w:r>
        <w:rPr>
          <w:rFonts w:ascii="Calibri" w:hAnsi="Calibri" w:eastAsia="Calibri" w:cs="Calibri"/>
          <w:b w:val="0"/>
          <w:bCs w:val="0"/>
          <w:i w:val="0"/>
          <w:iCs w:val="0"/>
          <w:color w:val="333333"/>
          <w:sz w:val="22"/>
          <w:szCs w:val="22"/>
        </w:rPr>
        <w:t>La evidencia científica respalda esa aproximación. La Comisión Lancet estimó en 2024 que hasta el 45% de los casos de demencia podrían prevenirse o retrasarse actuando sobre catorce factores de riesgo modificables a lo largo de la vida. Y retrasar cinco años la edad media de aparición de la enfermedad reduciría el número total de casos aproximadamente a la mitad.</w:t>
      </w:r>
    </w:p>
    <w:p w14:paraId="5A8DD2DE">
      <w:pPr>
        <w:spacing w:before="0" w:after="150" w:line="300" w:lineRule="auto"/>
        <w:jc w:val="both"/>
      </w:pPr>
      <w:r>
        <w:rPr>
          <w:rFonts w:ascii="Calibri" w:hAnsi="Calibri" w:eastAsia="Calibri" w:cs="Calibri"/>
          <w:b w:val="0"/>
          <w:bCs w:val="0"/>
          <w:i w:val="0"/>
          <w:iCs w:val="0"/>
          <w:color w:val="333333"/>
          <w:sz w:val="22"/>
          <w:szCs w:val="22"/>
        </w:rPr>
        <w:t>En la Región de Murcia, según estimaciones difundidas por la Consejería de Salud, unas 55.000 personas presentan algún grado de deterioro cognitivo y en torno a 38.500 padecen enfermedad de Alzheimer. El coste medio por paciente se sitúa entre 27.000 y 37.000 euros anuales según estimaciones publicadas, y aproximadamente el 87% recae sobre las familias.</w:t>
      </w:r>
    </w:p>
    <w:p w14:paraId="1A8E0671">
      <w:pPr>
        <w:spacing w:before="220" w:after="100" w:line="300" w:lineRule="auto"/>
        <w:jc w:val="both"/>
      </w:pPr>
      <w:r>
        <w:rPr>
          <w:rFonts w:ascii="Calibri" w:hAnsi="Calibri" w:eastAsia="Calibri" w:cs="Calibri"/>
          <w:b/>
          <w:bCs/>
          <w:i w:val="0"/>
          <w:iCs w:val="0"/>
          <w:color w:val="8F421E"/>
          <w:sz w:val="24"/>
          <w:szCs w:val="24"/>
        </w:rPr>
        <w:t>Cómo funcionan los servicios</w:t>
      </w:r>
    </w:p>
    <w:p w14:paraId="025ED55E">
      <w:pPr>
        <w:spacing w:before="0" w:after="150" w:line="300" w:lineRule="auto"/>
        <w:jc w:val="both"/>
      </w:pPr>
      <w:r>
        <w:rPr>
          <w:rFonts w:ascii="Calibri" w:hAnsi="Calibri" w:eastAsia="Calibri" w:cs="Calibri"/>
          <w:b w:val="0"/>
          <w:bCs w:val="0"/>
          <w:i w:val="0"/>
          <w:iCs w:val="0"/>
          <w:color w:val="333333"/>
          <w:sz w:val="22"/>
          <w:szCs w:val="22"/>
        </w:rPr>
        <w:t>El modelo se articula en cuatro fases: una valoración que estratifica el riesgo mediante metodología validada por programas internacionales de referencia y elabora un perfil individualizado; un plan preventivo personalizado; una intervención multidominio que actúa simultáneamente sobre los ámbitos vascular, metabólico, cognitivo, físico, sensorial, emocional y social, y un seguimiento longitudinal que permite evaluar la evolución del perfil de riesgo a lo largo del tiempo.</w:t>
      </w:r>
    </w:p>
    <w:p w14:paraId="4E2C4FEA">
      <w:pPr>
        <w:spacing w:before="0" w:after="150" w:line="300" w:lineRule="auto"/>
        <w:jc w:val="both"/>
      </w:pPr>
      <w:r>
        <w:rPr>
          <w:rFonts w:ascii="Calibri" w:hAnsi="Calibri" w:eastAsia="Calibri" w:cs="Calibri"/>
          <w:b w:val="0"/>
          <w:bCs w:val="0"/>
          <w:i w:val="0"/>
          <w:iCs w:val="0"/>
          <w:color w:val="333333"/>
          <w:sz w:val="22"/>
          <w:szCs w:val="22"/>
        </w:rPr>
        <w:t xml:space="preserve">El programa se alinea con las directrices de la Organización Mundial de la Salud sobre servicios de salud cerebral. </w:t>
      </w:r>
    </w:p>
    <w:p w14:paraId="7A4F5143">
      <w:pPr>
        <w:spacing w:before="220" w:after="100" w:line="300" w:lineRule="auto"/>
        <w:jc w:val="both"/>
      </w:pPr>
      <w:r>
        <w:rPr>
          <w:rFonts w:ascii="Calibri" w:hAnsi="Calibri" w:eastAsia="Calibri" w:cs="Calibri"/>
          <w:b/>
          <w:bCs/>
          <w:i w:val="0"/>
          <w:iCs w:val="0"/>
          <w:color w:val="8F421E"/>
          <w:sz w:val="24"/>
          <w:szCs w:val="24"/>
        </w:rPr>
        <w:t>Líneas de trabajo con la Consejería de Salud</w:t>
      </w:r>
    </w:p>
    <w:p w14:paraId="6F63F867">
      <w:pPr>
        <w:spacing w:before="0" w:after="150" w:line="300" w:lineRule="auto"/>
        <w:jc w:val="both"/>
        <w:rPr>
          <w:rFonts w:hint="default"/>
          <w:lang w:val="es-ES"/>
        </w:rPr>
      </w:pPr>
      <w:r>
        <w:rPr>
          <w:rFonts w:ascii="Calibri" w:hAnsi="Calibri" w:eastAsia="Calibri" w:cs="Calibri"/>
          <w:b w:val="0"/>
          <w:bCs w:val="0"/>
          <w:i w:val="0"/>
          <w:iCs w:val="0"/>
          <w:color w:val="333333"/>
          <w:sz w:val="22"/>
          <w:szCs w:val="22"/>
        </w:rPr>
        <w:t>Al margen de estos servicios, AFADE mantiene con la Consejería de Salud un convenio de colaboración, suscrito en febrero de 2026, que ampara sus líneas de investigación, formación y divulgación en salud cerebral</w:t>
      </w:r>
      <w:r>
        <w:rPr>
          <w:rFonts w:hint="default" w:cs="Calibri"/>
          <w:b w:val="0"/>
          <w:bCs w:val="0"/>
          <w:i w:val="0"/>
          <w:iCs w:val="0"/>
          <w:color w:val="333333"/>
          <w:sz w:val="22"/>
          <w:szCs w:val="22"/>
          <w:lang w:val="es-ES"/>
        </w:rPr>
        <w:t xml:space="preserve"> y se consolida con la creación del primer programa regional en Salud Cerebral que situa a la región de Murcia como nodo demostrador de prevención del deterioro cognitivo.</w:t>
      </w:r>
    </w:p>
    <w:p w14:paraId="383D73F6">
      <w:pPr>
        <w:spacing w:before="220" w:after="100" w:line="300" w:lineRule="auto"/>
        <w:jc w:val="both"/>
      </w:pPr>
      <w:r>
        <w:rPr>
          <w:rFonts w:ascii="Calibri" w:hAnsi="Calibri" w:eastAsia="Calibri" w:cs="Calibri"/>
          <w:b/>
          <w:bCs/>
          <w:i w:val="0"/>
          <w:iCs w:val="0"/>
          <w:color w:val="8F421E"/>
          <w:sz w:val="24"/>
          <w:szCs w:val="24"/>
        </w:rPr>
        <w:t>Proyección internacional</w:t>
      </w:r>
    </w:p>
    <w:p w14:paraId="30709C2F">
      <w:pPr>
        <w:spacing w:before="0" w:after="150" w:line="300" w:lineRule="auto"/>
        <w:jc w:val="both"/>
      </w:pPr>
      <w:r>
        <w:rPr>
          <w:rFonts w:ascii="Calibri" w:hAnsi="Calibri" w:eastAsia="Calibri" w:cs="Calibri"/>
          <w:b w:val="0"/>
          <w:bCs w:val="0"/>
          <w:i w:val="0"/>
          <w:iCs w:val="0"/>
          <w:color w:val="333333"/>
          <w:sz w:val="22"/>
          <w:szCs w:val="22"/>
        </w:rPr>
        <w:t>AFADE presentará su modelo de prevención en la Alzheimer Europe Conference que se celebrará en Dublín el próximo mes de octubre, con el respaldo de la Fundación Pasqual Maragall, entidad de referencia en España en investigación sobre prevención del Alzheimer. Será la primera participación de la asociación en un foro europeo de este nivel.</w:t>
      </w:r>
    </w:p>
    <w:p w14:paraId="5C1DD445">
      <w:pPr>
        <w:spacing w:before="220" w:after="100" w:line="300" w:lineRule="auto"/>
        <w:jc w:val="both"/>
      </w:pPr>
      <w:r>
        <w:rPr>
          <w:rFonts w:ascii="Calibri" w:hAnsi="Calibri" w:eastAsia="Calibri" w:cs="Calibri"/>
          <w:b/>
          <w:bCs/>
          <w:i w:val="0"/>
          <w:iCs w:val="0"/>
          <w:color w:val="8F421E"/>
          <w:sz w:val="24"/>
          <w:szCs w:val="24"/>
        </w:rPr>
        <w:t>Declaraciones</w:t>
      </w:r>
    </w:p>
    <w:tbl>
      <w:tblPr>
        <w:tblStyle w:val="9"/>
        <w:tblW w:w="9360" w:type="dxa"/>
        <w:tblInd w:w="0" w:type="dxa"/>
        <w:tblBorders>
          <w:top w:val="none" w:color="FFFFFF" w:sz="0" w:space="0"/>
          <w:left w:val="single" w:color="B5582A" w:sz="18"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9360"/>
      </w:tblGrid>
      <w:tr w14:paraId="04399319">
        <w:tblPrEx>
          <w:tblBorders>
            <w:top w:val="none" w:color="FFFFFF" w:sz="0" w:space="0"/>
            <w:left w:val="single" w:color="B5582A" w:sz="18" w:space="0"/>
            <w:bottom w:val="none" w:color="FFFFFF" w:sz="0" w:space="0"/>
            <w:right w:val="none" w:color="FFFFFF" w:sz="0" w:space="0"/>
            <w:insideH w:val="none" w:color="FFFFFF" w:sz="0" w:space="0"/>
            <w:insideV w:val="none" w:color="FFFFFF" w:sz="0" w:space="0"/>
          </w:tblBorders>
          <w:tblCellMar>
            <w:top w:w="0" w:type="dxa"/>
            <w:left w:w="10" w:type="dxa"/>
            <w:bottom w:w="0" w:type="dxa"/>
            <w:right w:w="10" w:type="dxa"/>
          </w:tblCellMar>
        </w:tblPrEx>
        <w:tc>
          <w:tcPr>
            <w:tcW w:w="9360" w:type="dxa"/>
            <w:tcBorders>
              <w:top w:val="nil"/>
              <w:left w:val="single" w:color="B5582A" w:sz="18" w:space="0"/>
              <w:bottom w:val="nil"/>
              <w:right w:val="nil"/>
            </w:tcBorders>
            <w:shd w:val="clear" w:color="auto" w:fill="F5F0ED"/>
            <w:tcMar>
              <w:top w:w="140" w:type="dxa"/>
              <w:left w:w="220" w:type="dxa"/>
              <w:bottom w:w="140" w:type="dxa"/>
              <w:right w:w="200" w:type="dxa"/>
            </w:tcMar>
          </w:tcPr>
          <w:p w14:paraId="41A7DAFC">
            <w:pPr>
              <w:spacing w:before="0" w:after="0" w:line="300" w:lineRule="auto"/>
              <w:jc w:val="both"/>
            </w:pPr>
            <w:r>
              <w:rPr>
                <w:rFonts w:ascii="Calibri" w:hAnsi="Calibri" w:eastAsia="Calibri" w:cs="Calibri"/>
                <w:b w:val="0"/>
                <w:bCs w:val="0"/>
                <w:i/>
                <w:iCs/>
                <w:color w:val="333333"/>
                <w:sz w:val="22"/>
                <w:szCs w:val="22"/>
              </w:rPr>
              <w:t>«Durante muchos años, frente a esta enfermedad solo podíamos acompañar. Hoy sabemos que una parte importante de los casos podría evitarse o retrasarse, y eso nos obliga a actuar mucho antes. Empezar a trabajar con personas sanas, que aún no tienen síntomas, es la decisión más importante que ha tomado esta asociación en mucho tiempo», ha señalado la presidenta de AFADE, Julia Fernández Sánchez.</w:t>
            </w:r>
          </w:p>
        </w:tc>
      </w:tr>
    </w:tbl>
    <w:p w14:paraId="20811F4F">
      <w:pPr>
        <w:spacing w:before="240" w:after="100" w:line="300" w:lineRule="auto"/>
        <w:jc w:val="both"/>
      </w:pPr>
      <w:r>
        <w:rPr>
          <w:rFonts w:ascii="Calibri" w:hAnsi="Calibri" w:eastAsia="Calibri" w:cs="Calibri"/>
          <w:b/>
          <w:bCs/>
          <w:i w:val="0"/>
          <w:iCs w:val="0"/>
          <w:color w:val="8F421E"/>
          <w:sz w:val="24"/>
          <w:szCs w:val="24"/>
        </w:rPr>
        <w:t>Sobre AFADE</w:t>
      </w:r>
    </w:p>
    <w:p w14:paraId="58BC5A91">
      <w:pPr>
        <w:spacing w:before="0" w:after="150" w:line="300" w:lineRule="auto"/>
        <w:jc w:val="both"/>
      </w:pPr>
      <w:r>
        <w:rPr>
          <w:rFonts w:ascii="Calibri" w:hAnsi="Calibri" w:eastAsia="Calibri" w:cs="Calibri"/>
          <w:b w:val="0"/>
          <w:bCs w:val="0"/>
          <w:i w:val="0"/>
          <w:iCs w:val="0"/>
          <w:color w:val="333333"/>
          <w:sz w:val="20"/>
          <w:szCs w:val="20"/>
        </w:rPr>
        <w:t>AFADE es la Asociación de Familiares de Enfermos de Alzheimer y otras Demencias de la Región de Murcia, entidad sin ánimo de lucro declarada de utilidad pública, con décadas de trayectoria en la atención a personas con demencia y a sus familias. Es titular de centro de día acreditado, cuenta con equipo técnico especializado y forma parte de la Confederación Española de Alzheimer (CEAFA) y de la Federación de Asociaciones de Familiares de Alzheimer de la Región de Murcia (FFEDARM).</w:t>
      </w:r>
    </w:p>
    <w:p w14:paraId="44A82079">
      <w:pPr>
        <w:spacing w:before="300" w:after="60"/>
      </w:pPr>
      <w:r>
        <w:rPr>
          <w:rFonts w:ascii="Calibri" w:hAnsi="Calibri" w:eastAsia="Calibri" w:cs="Calibri"/>
          <w:b/>
          <w:bCs/>
          <w:color w:val="4A4A52"/>
          <w:sz w:val="21"/>
          <w:szCs w:val="21"/>
        </w:rPr>
        <w:t>Contacto de prensa</w:t>
      </w:r>
    </w:p>
    <w:p w14:paraId="3FB643B3">
      <w:pPr>
        <w:spacing w:before="0" w:after="30" w:line="300" w:lineRule="auto"/>
        <w:jc w:val="both"/>
      </w:pPr>
      <w:r>
        <w:rPr>
          <w:rFonts w:ascii="Calibri" w:hAnsi="Calibri" w:eastAsia="Calibri" w:cs="Calibri"/>
          <w:b w:val="0"/>
          <w:bCs w:val="0"/>
          <w:i w:val="0"/>
          <w:iCs w:val="0"/>
          <w:color w:val="333333"/>
          <w:sz w:val="20"/>
          <w:szCs w:val="20"/>
        </w:rPr>
        <w:t>María Clavel Claver · Directora del programa AFADE Salud Cerebral</w:t>
      </w:r>
      <w:bookmarkStart w:id="0" w:name="_GoBack"/>
      <w:bookmarkEnd w:id="0"/>
    </w:p>
    <w:p w14:paraId="1D5AF245">
      <w:pPr>
        <w:spacing w:before="0" w:after="30" w:line="300" w:lineRule="auto"/>
        <w:jc w:val="both"/>
      </w:pPr>
      <w:r>
        <w:rPr>
          <w:rFonts w:ascii="Calibri" w:hAnsi="Calibri" w:eastAsia="Calibri" w:cs="Calibri"/>
          <w:b w:val="0"/>
          <w:bCs w:val="0"/>
          <w:i w:val="0"/>
          <w:iCs w:val="0"/>
          <w:color w:val="7A7A82"/>
          <w:sz w:val="20"/>
          <w:szCs w:val="20"/>
        </w:rPr>
        <w:t>Tel. 661 321 506 · mclavel.afade@gmail.com · administracion@afade.es</w:t>
      </w:r>
    </w:p>
    <w:p w14:paraId="38740D91">
      <w:pPr>
        <w:spacing w:before="0" w:after="150" w:line="300" w:lineRule="auto"/>
        <w:jc w:val="both"/>
      </w:pPr>
      <w:r>
        <w:rPr>
          <w:rFonts w:ascii="Calibri" w:hAnsi="Calibri" w:eastAsia="Calibri" w:cs="Calibri"/>
          <w:b w:val="0"/>
          <w:bCs w:val="0"/>
          <w:i/>
          <w:iCs/>
          <w:color w:val="7A7A82"/>
          <w:sz w:val="20"/>
          <w:szCs w:val="20"/>
        </w:rPr>
        <w:t>Material gráfico e infografía del modelo disponibles a petición.</w:t>
      </w:r>
    </w:p>
    <w:sectPr>
      <w:pgSz w:w="11906" w:h="16838"/>
      <w:pgMar w:top="1296" w:right="1440" w:bottom="1296"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440" w:hanging="220"/>
      </w:pPr>
      <w:rPr>
        <w:color w:val="B5582A"/>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compatSetting w:name="compatibilityMode" w:uri="http://schemas.microsoft.com/office/word" w:val="15"/>
  </w:compat>
  <w:rsids>
    <w:rsidRoot w:val="00000000"/>
    <w:rsid w:val="5F5F22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Calibri" w:hAnsi="Calibri" w:eastAsia="Calibri" w:cs="Calibri"/>
      <w:sz w:val="22"/>
      <w:szCs w:val="22"/>
    </w:rPr>
  </w:style>
  <w:style w:type="paragraph" w:styleId="2">
    <w:name w:val="heading 1"/>
    <w:next w:val="1"/>
    <w:qFormat/>
    <w:uiPriority w:val="0"/>
    <w:rPr>
      <w:rFonts w:ascii="Calibri" w:hAnsi="Calibri" w:eastAsia="Calibri" w:cs="Calibri"/>
      <w:color w:val="2E74B5"/>
      <w:sz w:val="32"/>
      <w:szCs w:val="32"/>
    </w:rPr>
  </w:style>
  <w:style w:type="paragraph" w:styleId="3">
    <w:name w:val="heading 2"/>
    <w:next w:val="1"/>
    <w:qFormat/>
    <w:uiPriority w:val="0"/>
    <w:rPr>
      <w:rFonts w:ascii="Calibri" w:hAnsi="Calibri" w:eastAsia="Calibri" w:cs="Calibri"/>
      <w:color w:val="2E74B5"/>
      <w:sz w:val="26"/>
      <w:szCs w:val="26"/>
    </w:rPr>
  </w:style>
  <w:style w:type="paragraph" w:styleId="4">
    <w:name w:val="heading 3"/>
    <w:next w:val="1"/>
    <w:qFormat/>
    <w:uiPriority w:val="0"/>
    <w:rPr>
      <w:rFonts w:ascii="Calibri" w:hAnsi="Calibri" w:eastAsia="Calibri" w:cs="Calibri"/>
      <w:color w:val="1F4D78"/>
      <w:sz w:val="24"/>
      <w:szCs w:val="24"/>
    </w:rPr>
  </w:style>
  <w:style w:type="paragraph" w:styleId="5">
    <w:name w:val="heading 4"/>
    <w:next w:val="1"/>
    <w:qFormat/>
    <w:uiPriority w:val="0"/>
    <w:rPr>
      <w:rFonts w:ascii="Calibri" w:hAnsi="Calibri" w:eastAsia="Calibri" w:cs="Calibri"/>
      <w:i/>
      <w:iCs/>
      <w:color w:val="2E74B5"/>
      <w:sz w:val="22"/>
      <w:szCs w:val="22"/>
    </w:rPr>
  </w:style>
  <w:style w:type="paragraph" w:styleId="6">
    <w:name w:val="heading 5"/>
    <w:next w:val="1"/>
    <w:qFormat/>
    <w:uiPriority w:val="0"/>
    <w:rPr>
      <w:rFonts w:ascii="Calibri" w:hAnsi="Calibri" w:eastAsia="Calibri" w:cs="Calibri"/>
      <w:color w:val="2E74B5"/>
      <w:sz w:val="22"/>
      <w:szCs w:val="22"/>
    </w:rPr>
  </w:style>
  <w:style w:type="paragraph" w:styleId="7">
    <w:name w:val="heading 6"/>
    <w:next w:val="1"/>
    <w:qFormat/>
    <w:uiPriority w:val="0"/>
    <w:rPr>
      <w:rFonts w:ascii="Calibri" w:hAnsi="Calibri" w:eastAsia="Calibri" w:cs="Calibri"/>
      <w:color w:val="1F4D78"/>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character" w:styleId="11">
    <w:name w:val="footnote reference"/>
    <w:semiHidden/>
    <w:unhideWhenUsed/>
    <w:uiPriority w:val="99"/>
    <w:rPr>
      <w:vertAlign w:val="superscript"/>
    </w:rPr>
  </w:style>
  <w:style w:type="character" w:styleId="12">
    <w:name w:val="Hyperlink"/>
    <w:unhideWhenUsed/>
    <w:qFormat/>
    <w:uiPriority w:val="99"/>
    <w:rPr>
      <w:color w:val="0563C1"/>
      <w:u w:val="single"/>
    </w:rPr>
  </w:style>
  <w:style w:type="paragraph" w:styleId="13">
    <w:name w:val="footnote text"/>
    <w:link w:val="17"/>
    <w:semiHidden/>
    <w:unhideWhenUsed/>
    <w:uiPriority w:val="99"/>
    <w:pPr>
      <w:spacing w:after="0" w:line="240" w:lineRule="auto"/>
    </w:pPr>
    <w:rPr>
      <w:rFonts w:ascii="Calibri" w:hAnsi="Calibri" w:eastAsia="Calibri" w:cs="Calibri"/>
      <w:sz w:val="20"/>
      <w:szCs w:val="20"/>
    </w:rPr>
  </w:style>
  <w:style w:type="paragraph" w:styleId="14">
    <w:name w:val="endnote text"/>
    <w:link w:val="18"/>
    <w:semiHidden/>
    <w:unhideWhenUsed/>
    <w:uiPriority w:val="99"/>
    <w:pPr>
      <w:spacing w:after="0" w:line="240" w:lineRule="auto"/>
    </w:pPr>
    <w:rPr>
      <w:rFonts w:ascii="Calibri" w:hAnsi="Calibri" w:eastAsia="Calibri" w:cs="Calibri"/>
      <w:sz w:val="20"/>
      <w:szCs w:val="20"/>
    </w:rPr>
  </w:style>
  <w:style w:type="paragraph" w:styleId="15">
    <w:name w:val="Title"/>
    <w:qFormat/>
    <w:uiPriority w:val="0"/>
    <w:rPr>
      <w:rFonts w:ascii="Calibri" w:hAnsi="Calibri" w:eastAsia="Calibri" w:cs="Calibri"/>
      <w:sz w:val="56"/>
      <w:szCs w:val="56"/>
    </w:rPr>
  </w:style>
  <w:style w:type="paragraph" w:styleId="16">
    <w:name w:val="List Paragraph"/>
    <w:qFormat/>
    <w:uiPriority w:val="0"/>
    <w:rPr>
      <w:rFonts w:ascii="Calibri" w:hAnsi="Calibri" w:eastAsia="Calibri" w:cs="Calibri"/>
      <w:sz w:val="22"/>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4"/>
    <w:semiHidden/>
    <w:unhideWhenUsed/>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879</Words>
  <Characters>4698</Characters>
  <TotalTime>8</TotalTime>
  <ScaleCrop>false</ScaleCrop>
  <LinksUpToDate>false</LinksUpToDate>
  <CharactersWithSpaces>5551</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2026-09-14T11:41:00Z</dcterms:created>
  <dc:creator>Un-named</dc:creator>
  <cp:lastModifiedBy>google1585331215</cp:lastModifiedBy>
  <dcterms:modified xsi:type="dcterms:W3CDTF">2026-09-14T11:54:46Z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eyJoZGlkIjoiOTQ2MDdjODU2NWVjZDA0NTA0ZjA3YzFlMGU5OWI0NDMiLCJ1c2VySWQiOiIzNzI4MTcxNzUxOTU5In0=</vt:lpwstr>
  </property>
  <property fmtid="{D5CDD505-2E9C-101B-9397-08002B2CF9AE}" pid="3" name="KSOProductBuildVer">
    <vt:lpwstr>3082-12.1.0.28485</vt:lpwstr>
  </property>
  <property fmtid="{D5CDD505-2E9C-101B-9397-08002B2CF9AE}" pid="4" name="ICV">
    <vt:lpwstr>172CA5459B08422892F3838D389D3664_13</vt:lpwstr>
  </property>
</Properties>
</file>